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95F32" w14:textId="2836A022" w:rsidR="007C4C6F" w:rsidRDefault="00FF1398" w:rsidP="001B75D0">
      <w:pPr>
        <w:jc w:val="center"/>
        <w:rPr>
          <w:b/>
          <w:bCs/>
          <w:sz w:val="36"/>
          <w:szCs w:val="40"/>
          <w:u w:val="single"/>
        </w:rPr>
      </w:pPr>
      <w:r>
        <w:rPr>
          <w:b/>
          <w:bCs/>
          <w:sz w:val="36"/>
          <w:szCs w:val="40"/>
          <w:u w:val="single"/>
        </w:rPr>
        <w:t>S</w:t>
      </w:r>
      <w:r w:rsidR="007C4C6F" w:rsidRPr="007C4C6F">
        <w:rPr>
          <w:b/>
          <w:bCs/>
          <w:sz w:val="36"/>
          <w:szCs w:val="40"/>
          <w:u w:val="single"/>
        </w:rPr>
        <w:t>upplementary tables &amp; figures</w:t>
      </w:r>
    </w:p>
    <w:p w14:paraId="5EEDD17A" w14:textId="77777777" w:rsidR="001B75D0" w:rsidRDefault="001B75D0" w:rsidP="001B75D0">
      <w:pPr>
        <w:jc w:val="center"/>
        <w:rPr>
          <w:b/>
          <w:bCs/>
          <w:sz w:val="36"/>
          <w:szCs w:val="40"/>
          <w:u w:val="single"/>
        </w:rPr>
      </w:pPr>
    </w:p>
    <w:p w14:paraId="37F74668" w14:textId="1912E3FA" w:rsidR="00F818C7" w:rsidRPr="00D97D8E" w:rsidRDefault="009A20C7" w:rsidP="00F818C7">
      <w:pPr>
        <w:spacing w:after="160" w:line="259" w:lineRule="auto"/>
        <w:rPr>
          <w:rFonts w:ascii="Arial"/>
          <w:b/>
          <w:bCs/>
          <w:color w:val="0D0F1A"/>
          <w:sz w:val="28"/>
          <w:u w:color="0D0F1A"/>
        </w:rPr>
      </w:pPr>
      <w:r w:rsidRPr="00D97D8E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5A87E3D" wp14:editId="0725FC86">
            <wp:simplePos x="0" y="0"/>
            <wp:positionH relativeFrom="margin">
              <wp:posOffset>100519</wp:posOffset>
            </wp:positionH>
            <wp:positionV relativeFrom="paragraph">
              <wp:posOffset>308043</wp:posOffset>
            </wp:positionV>
            <wp:extent cx="6322979" cy="9170932"/>
            <wp:effectExtent l="0" t="0" r="1905" b="0"/>
            <wp:wrapNone/>
            <wp:docPr id="17108260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82601" name="صورة 17108260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710" cy="9174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8C7" w:rsidRPr="00D97D8E">
        <w:rPr>
          <w:rFonts w:asciiTheme="majorBidi" w:hAnsiTheme="majorBidi" w:cstheme="majorBidi"/>
          <w:b/>
          <w:bCs/>
        </w:rPr>
        <w:t>Supplementary figure 1</w:t>
      </w:r>
      <w:r w:rsidR="00321C9E">
        <w:rPr>
          <w:rFonts w:asciiTheme="majorBidi" w:hAnsiTheme="majorBidi" w:cstheme="majorBidi"/>
          <w:b/>
          <w:bCs/>
        </w:rPr>
        <w:t>:</w:t>
      </w:r>
      <w:r w:rsidR="00F818C7" w:rsidRPr="00D97D8E">
        <w:rPr>
          <w:rFonts w:ascii="Arial"/>
          <w:b/>
          <w:bCs/>
          <w:color w:val="0D0F1A"/>
          <w:sz w:val="28"/>
          <w:u w:color="0D0F1A"/>
        </w:rPr>
        <w:br w:type="page"/>
      </w:r>
    </w:p>
    <w:p w14:paraId="2454E81D" w14:textId="78220172" w:rsidR="00F818C7" w:rsidRDefault="00F818C7" w:rsidP="00F818C7">
      <w:pPr>
        <w:pStyle w:val="BodyText"/>
        <w:spacing w:after="0"/>
        <w:rPr>
          <w:rFonts w:asciiTheme="majorBidi" w:hAnsiTheme="majorBidi" w:cstheme="majorBidi"/>
          <w:b/>
          <w:bCs/>
        </w:rPr>
      </w:pPr>
      <w:r w:rsidRPr="00D97D8E">
        <w:rPr>
          <w:rFonts w:asciiTheme="majorBidi" w:hAnsiTheme="majorBidi" w:cstheme="majorBidi"/>
          <w:b/>
          <w:bCs/>
        </w:rPr>
        <w:lastRenderedPageBreak/>
        <w:t>Supplementary table 1</w:t>
      </w:r>
      <w:r w:rsidR="00321C9E">
        <w:rPr>
          <w:rFonts w:asciiTheme="majorBidi" w:hAnsiTheme="majorBidi" w:cstheme="majorBidi"/>
          <w:b/>
          <w:bCs/>
        </w:rPr>
        <w:t>:</w:t>
      </w:r>
    </w:p>
    <w:p w14:paraId="68595C53" w14:textId="77777777" w:rsidR="00F818C7" w:rsidRPr="00D97D8E" w:rsidRDefault="00F818C7" w:rsidP="00F818C7">
      <w:pPr>
        <w:pStyle w:val="BodyText"/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737DA68" w14:textId="77777777" w:rsidR="00F818C7" w:rsidRPr="00975105" w:rsidRDefault="00F818C7" w:rsidP="00F818C7">
      <w:pPr>
        <w:pStyle w:val="BodyText"/>
        <w:spacing w:after="0"/>
        <w:rPr>
          <w:rFonts w:asciiTheme="majorBidi" w:hAnsiTheme="majorBidi" w:cstheme="majorBidi"/>
          <w:sz w:val="20"/>
          <w:szCs w:val="20"/>
        </w:rPr>
      </w:pPr>
      <w:r w:rsidRPr="00975105">
        <w:rPr>
          <w:rFonts w:asciiTheme="majorBidi" w:hAnsiTheme="majorBidi" w:cstheme="majorBidi"/>
          <w:b/>
          <w:bCs/>
          <w:sz w:val="20"/>
          <w:szCs w:val="20"/>
        </w:rPr>
        <w:t>Participants’ responses to knowledge items</w:t>
      </w:r>
    </w:p>
    <w:tbl>
      <w:tblPr>
        <w:tblStyle w:val="Table"/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954"/>
        <w:gridCol w:w="1698"/>
        <w:gridCol w:w="1271"/>
        <w:gridCol w:w="1186"/>
      </w:tblGrid>
      <w:tr w:rsidR="00F818C7" w:rsidRPr="00975105" w14:paraId="5862BD80" w14:textId="77777777" w:rsidTr="001B7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59"/>
          <w:jc w:val="center"/>
        </w:trPr>
        <w:tc>
          <w:tcPr>
            <w:tcW w:w="5954" w:type="dxa"/>
            <w:tcBorders>
              <w:bottom w:val="none" w:sz="0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2A418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color w:val="000000"/>
                <w:sz w:val="20"/>
                <w:szCs w:val="20"/>
              </w:rPr>
              <w:t>Characteristic</w:t>
            </w:r>
          </w:p>
        </w:tc>
        <w:tc>
          <w:tcPr>
            <w:tcW w:w="1698" w:type="dxa"/>
            <w:tcBorders>
              <w:bottom w:val="none" w:sz="0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DFE2A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1" w:type="dxa"/>
            <w:tcBorders>
              <w:bottom w:val="none" w:sz="0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C7C1A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186" w:type="dxa"/>
            <w:tcBorders>
              <w:bottom w:val="none" w:sz="0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1F28C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color w:val="000000"/>
                <w:sz w:val="20"/>
                <w:szCs w:val="20"/>
              </w:rPr>
              <w:t>Do not know</w:t>
            </w: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 xml:space="preserve"> </w:t>
            </w:r>
          </w:p>
        </w:tc>
      </w:tr>
      <w:tr w:rsidR="00F818C7" w:rsidRPr="00975105" w14:paraId="3F17C638" w14:textId="77777777" w:rsidTr="001B75D0">
        <w:trPr>
          <w:cantSplit/>
          <w:trHeight w:val="559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0CACC4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Do you have knowledge about Glucagon-like peptide1 receptor agonists (GLP-1 RA)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CD02C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 (5.9%)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AC9DB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46 (90.2%)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E8DEF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2 (3.9%)</w:t>
            </w:r>
          </w:p>
        </w:tc>
      </w:tr>
      <w:tr w:rsidR="00F818C7" w:rsidRPr="00975105" w14:paraId="1439DB29" w14:textId="77777777" w:rsidTr="001B75D0">
        <w:trPr>
          <w:cantSplit/>
          <w:trHeight w:val="559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1C1542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are the latest addition in management of type-2 diabetes mellitus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84051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 (5.9%)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85E3C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40 (78.4%)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3F279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8 (15.7%)</w:t>
            </w:r>
          </w:p>
        </w:tc>
      </w:tr>
      <w:tr w:rsidR="00F818C7" w:rsidRPr="00975105" w14:paraId="6FA66626" w14:textId="77777777" w:rsidTr="001B75D0">
        <w:trPr>
          <w:cantSplit/>
          <w:trHeight w:val="541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996726" w14:textId="651D7FC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The administration of GLP- RA do no</w:t>
            </w:r>
            <w:r w:rsidR="00F167BD">
              <w:rPr>
                <w:rFonts w:asciiTheme="majorBidi" w:hAnsiTheme="majorBidi" w:cstheme="majorBidi"/>
                <w:sz w:val="20"/>
                <w:szCs w:val="20"/>
              </w:rPr>
              <w:t>t</w:t>
            </w:r>
            <w:r w:rsidRPr="00975105">
              <w:rPr>
                <w:rFonts w:asciiTheme="majorBidi" w:hAnsiTheme="majorBidi" w:cstheme="majorBidi"/>
                <w:sz w:val="20"/>
                <w:szCs w:val="20"/>
              </w:rPr>
              <w:t xml:space="preserve"> c</w:t>
            </w:r>
            <w:r w:rsidR="00F167BD">
              <w:rPr>
                <w:rFonts w:asciiTheme="majorBidi" w:hAnsiTheme="majorBidi" w:cstheme="majorBidi"/>
                <w:sz w:val="20"/>
                <w:szCs w:val="20"/>
              </w:rPr>
              <w:t>ause</w:t>
            </w:r>
            <w:r w:rsidRPr="00975105">
              <w:rPr>
                <w:rFonts w:asciiTheme="majorBidi" w:hAnsiTheme="majorBidi" w:cstheme="majorBidi"/>
                <w:sz w:val="20"/>
                <w:szCs w:val="20"/>
              </w:rPr>
              <w:t xml:space="preserve"> hypoglycemia in diabetes type-II patients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6D992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12 (23.5%)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59BCB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32 (62.7%)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687DA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7 (13.7%)</w:t>
            </w:r>
          </w:p>
        </w:tc>
      </w:tr>
      <w:tr w:rsidR="00F818C7" w:rsidRPr="00975105" w14:paraId="235C6011" w14:textId="77777777" w:rsidTr="001B75D0">
        <w:trPr>
          <w:cantSplit/>
          <w:trHeight w:val="288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A9A33C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can help in reducing hemoglobin A1C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81BAC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0 (0.0%)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A7E63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51 (100.0%)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F5AD4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0 (0.0%)</w:t>
            </w:r>
          </w:p>
        </w:tc>
      </w:tr>
      <w:tr w:rsidR="00F818C7" w:rsidRPr="00975105" w14:paraId="6B66607E" w14:textId="77777777" w:rsidTr="001B75D0">
        <w:trPr>
          <w:cantSplit/>
          <w:trHeight w:val="270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DE3921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can help in reducing body weight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26F5E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2 (3.9%)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754D3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47 (92.2%)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DD6CD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2 (3.9%)</w:t>
            </w:r>
          </w:p>
        </w:tc>
      </w:tr>
      <w:tr w:rsidR="00F818C7" w:rsidRPr="00975105" w14:paraId="74A4AA6D" w14:textId="77777777" w:rsidTr="001B75D0">
        <w:trPr>
          <w:cantSplit/>
          <w:trHeight w:val="270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90C2E0" w14:textId="14BB7DD6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</w:t>
            </w:r>
            <w:r w:rsidRPr="00705A71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975105">
              <w:rPr>
                <w:rFonts w:asciiTheme="majorBidi" w:hAnsiTheme="majorBidi" w:cstheme="majorBidi"/>
                <w:sz w:val="20"/>
                <w:szCs w:val="20"/>
              </w:rPr>
              <w:t xml:space="preserve">1 RA can reduce the blood pressure 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0E404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13 (25.5%)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842BA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19 (37.3%)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481CF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19 (37.3%)</w:t>
            </w:r>
          </w:p>
        </w:tc>
      </w:tr>
      <w:tr w:rsidR="00F818C7" w:rsidRPr="00975105" w14:paraId="2874B158" w14:textId="77777777" w:rsidTr="001B75D0">
        <w:trPr>
          <w:cantSplit/>
          <w:trHeight w:val="288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2B1BB2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 xml:space="preserve">GLP-1RA can reduce risk of ischemic heart disease 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25E7E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 (5.9%)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FF817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46 (90.2%)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D6EE8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2 (3.9%)</w:t>
            </w:r>
          </w:p>
        </w:tc>
      </w:tr>
      <w:tr w:rsidR="00F818C7" w:rsidRPr="00975105" w14:paraId="4C8C9E96" w14:textId="77777777" w:rsidTr="001B75D0">
        <w:trPr>
          <w:cantSplit/>
          <w:trHeight w:val="270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C44893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GLP-1RA can reduce the risk of heart Failure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0ED71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 (7.8%)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1F12D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39 (76.5%)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E1F1F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8 (15.7%)</w:t>
            </w:r>
          </w:p>
        </w:tc>
      </w:tr>
      <w:tr w:rsidR="00F818C7" w:rsidRPr="00975105" w14:paraId="148AE8E4" w14:textId="77777777" w:rsidTr="001B75D0">
        <w:trPr>
          <w:cantSplit/>
          <w:trHeight w:val="270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ACAE6B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can reduce atherosclerosis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C151E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 (5.9%)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2D5FF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40 (78.4%)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87706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8 (15.7%)</w:t>
            </w:r>
          </w:p>
        </w:tc>
      </w:tr>
      <w:tr w:rsidR="00F818C7" w:rsidRPr="00975105" w14:paraId="6418C546" w14:textId="77777777" w:rsidTr="001B75D0">
        <w:trPr>
          <w:cantSplit/>
          <w:trHeight w:val="559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151FC9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can be sometimes the first line management of diabetes for people with previous cardiovascular disease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13B43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8 (15.7%)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B39A1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33 (64.7%)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EA97B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10 (19.6%)</w:t>
            </w:r>
          </w:p>
        </w:tc>
      </w:tr>
      <w:tr w:rsidR="00F818C7" w:rsidRPr="00975105" w14:paraId="4557DB67" w14:textId="77777777" w:rsidTr="001B75D0">
        <w:trPr>
          <w:cantSplit/>
          <w:trHeight w:val="270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54F65B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 xml:space="preserve">GLP-1 RA can be used as a renoprotective 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BD86D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8 (15.7%)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A9F7E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35 (68.6%)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59310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8 (15.7%)</w:t>
            </w:r>
          </w:p>
        </w:tc>
      </w:tr>
      <w:tr w:rsidR="00F818C7" w:rsidRPr="00975105" w14:paraId="3A3EB71D" w14:textId="77777777" w:rsidTr="001B75D0">
        <w:trPr>
          <w:cantSplit/>
          <w:trHeight w:val="288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88CB5E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therapy can cause pancreatitis in diabetes patients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EC3E4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 (5.9%)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DED80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46 (90.2%)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D2204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2 (3.9%)</w:t>
            </w:r>
          </w:p>
        </w:tc>
      </w:tr>
      <w:tr w:rsidR="00F818C7" w:rsidRPr="00975105" w14:paraId="45FFBB35" w14:textId="77777777" w:rsidTr="001B75D0">
        <w:trPr>
          <w:cantSplit/>
          <w:trHeight w:val="270"/>
          <w:jc w:val="center"/>
        </w:trPr>
        <w:tc>
          <w:tcPr>
            <w:tcW w:w="59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03AE34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9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GLP-1 RA carries potential risk of thyroid C-cell neoplasm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EAC21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2 (3.9%)</w:t>
            </w:r>
          </w:p>
        </w:tc>
        <w:tc>
          <w:tcPr>
            <w:tcW w:w="127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E1A0B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38 (74.5%)</w:t>
            </w:r>
          </w:p>
        </w:tc>
        <w:tc>
          <w:tcPr>
            <w:tcW w:w="11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A10B5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11 (21.6%)</w:t>
            </w:r>
          </w:p>
        </w:tc>
      </w:tr>
      <w:tr w:rsidR="00F818C7" w:rsidRPr="00975105" w14:paraId="4F17A236" w14:textId="77777777" w:rsidTr="001B75D0">
        <w:trPr>
          <w:cantSplit/>
          <w:trHeight w:val="288"/>
          <w:jc w:val="center"/>
        </w:trPr>
        <w:tc>
          <w:tcPr>
            <w:tcW w:w="10109" w:type="dxa"/>
            <w:gridSpan w:val="4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DB6B8" w14:textId="77777777" w:rsidR="00F818C7" w:rsidRPr="00975105" w:rsidRDefault="00F818C7" w:rsidP="009A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48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color w:val="000000"/>
                <w:sz w:val="20"/>
                <w:szCs w:val="20"/>
              </w:rPr>
              <w:t>n (%)</w:t>
            </w:r>
          </w:p>
        </w:tc>
      </w:tr>
    </w:tbl>
    <w:p w14:paraId="58B6C4B6" w14:textId="77777777" w:rsidR="00F818C7" w:rsidRDefault="00F818C7" w:rsidP="00F818C7">
      <w:pPr>
        <w:jc w:val="center"/>
        <w:rPr>
          <w:rFonts w:asciiTheme="majorBidi" w:hAnsiTheme="majorBidi" w:cstheme="majorBidi"/>
        </w:rPr>
      </w:pPr>
    </w:p>
    <w:p w14:paraId="76A564D0" w14:textId="77777777" w:rsidR="00F818C7" w:rsidRDefault="00F818C7" w:rsidP="00F818C7">
      <w:pPr>
        <w:spacing w:after="160" w:line="259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br w:type="page"/>
      </w:r>
    </w:p>
    <w:p w14:paraId="42197294" w14:textId="77777777" w:rsidR="00F818C7" w:rsidRPr="00975105" w:rsidRDefault="00F818C7" w:rsidP="00F818C7">
      <w:pPr>
        <w:jc w:val="center"/>
        <w:rPr>
          <w:rFonts w:asciiTheme="majorBidi" w:hAnsiTheme="majorBidi" w:cstheme="majorBidi"/>
        </w:rPr>
      </w:pPr>
    </w:p>
    <w:p w14:paraId="654D6AB6" w14:textId="6C3DDAAF" w:rsidR="00F818C7" w:rsidRDefault="00F818C7" w:rsidP="00F818C7">
      <w:pPr>
        <w:pStyle w:val="BodyText"/>
        <w:spacing w:after="0"/>
        <w:rPr>
          <w:rFonts w:asciiTheme="majorBidi" w:hAnsiTheme="majorBidi" w:cstheme="majorBidi"/>
          <w:b/>
          <w:bCs/>
        </w:rPr>
      </w:pPr>
      <w:r w:rsidRPr="00D97D8E">
        <w:rPr>
          <w:rFonts w:asciiTheme="majorBidi" w:hAnsiTheme="majorBidi" w:cstheme="majorBidi"/>
          <w:b/>
          <w:bCs/>
        </w:rPr>
        <w:t xml:space="preserve">Supplementary table </w:t>
      </w:r>
      <w:r>
        <w:rPr>
          <w:rFonts w:asciiTheme="majorBidi" w:hAnsiTheme="majorBidi" w:cstheme="majorBidi"/>
          <w:b/>
          <w:bCs/>
        </w:rPr>
        <w:t>2</w:t>
      </w:r>
      <w:r w:rsidR="00321C9E">
        <w:rPr>
          <w:rFonts w:asciiTheme="majorBidi" w:hAnsiTheme="majorBidi" w:cstheme="majorBidi"/>
          <w:b/>
          <w:bCs/>
        </w:rPr>
        <w:t>:</w:t>
      </w:r>
    </w:p>
    <w:p w14:paraId="6603A4E0" w14:textId="77777777" w:rsidR="00F818C7" w:rsidRPr="00975105" w:rsidRDefault="00F818C7" w:rsidP="00F818C7">
      <w:pPr>
        <w:spacing w:line="360" w:lineRule="auto"/>
        <w:jc w:val="both"/>
        <w:rPr>
          <w:rFonts w:asciiTheme="majorBidi" w:hAnsiTheme="majorBidi" w:cstheme="majorBidi"/>
          <w:i/>
          <w:iCs/>
        </w:rPr>
      </w:pPr>
    </w:p>
    <w:tbl>
      <w:tblPr>
        <w:tblStyle w:val="Table"/>
        <w:tblW w:w="11171" w:type="dxa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453"/>
        <w:gridCol w:w="1055"/>
        <w:gridCol w:w="1143"/>
        <w:gridCol w:w="1231"/>
        <w:gridCol w:w="1143"/>
        <w:gridCol w:w="1146"/>
      </w:tblGrid>
      <w:tr w:rsidR="00F818C7" w:rsidRPr="00975105" w14:paraId="08C5B8FA" w14:textId="77777777" w:rsidTr="001B7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53"/>
        </w:trPr>
        <w:tc>
          <w:tcPr>
            <w:tcW w:w="11171" w:type="dxa"/>
            <w:gridSpan w:val="6"/>
            <w:tcBorders>
              <w:bottom w:val="none" w:sz="0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920A2" w14:textId="77777777" w:rsidR="00F818C7" w:rsidRPr="00975105" w:rsidRDefault="00F818C7" w:rsidP="00FF1398">
            <w:pPr>
              <w:spacing w:line="360" w:lineRule="auto"/>
              <w:ind w:left="100" w:right="100"/>
              <w:rPr>
                <w:rFonts w:asciiTheme="majorBidi" w:eastAsia="Arial" w:hAnsiTheme="majorBidi" w:cstheme="majorBidi"/>
                <w:b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Participants’ responses to attitudes and practice items</w:t>
            </w:r>
          </w:p>
        </w:tc>
      </w:tr>
      <w:tr w:rsidR="00F818C7" w:rsidRPr="00975105" w14:paraId="16D10800" w14:textId="77777777" w:rsidTr="001B75D0">
        <w:trPr>
          <w:cantSplit/>
          <w:trHeight w:val="706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6054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sz w:val="20"/>
                <w:szCs w:val="20"/>
              </w:rPr>
              <w:t>Characteristic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5EA1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sz w:val="20"/>
                <w:szCs w:val="20"/>
              </w:rPr>
              <w:t>Strongly disagree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3022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sz w:val="20"/>
                <w:szCs w:val="20"/>
              </w:rPr>
              <w:t>Disagree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72F32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sz w:val="20"/>
                <w:szCs w:val="20"/>
              </w:rPr>
              <w:t>Neutral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A698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sz w:val="20"/>
                <w:szCs w:val="20"/>
              </w:rPr>
              <w:t>Agree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E599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sz w:val="20"/>
                <w:szCs w:val="20"/>
              </w:rPr>
              <w:t>Strongly agree</w:t>
            </w:r>
          </w:p>
        </w:tc>
      </w:tr>
      <w:tr w:rsidR="00F818C7" w:rsidRPr="00975105" w14:paraId="52EC63DF" w14:textId="77777777" w:rsidTr="001B75D0">
        <w:trPr>
          <w:cantSplit/>
          <w:trHeight w:val="353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C964E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bCs/>
                <w:sz w:val="20"/>
                <w:szCs w:val="20"/>
              </w:rPr>
              <w:t>Attitude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F11E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F2748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2D6DD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9B0B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DC49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818C7" w:rsidRPr="00975105" w14:paraId="0EDF5403" w14:textId="77777777" w:rsidTr="001B75D0">
        <w:trPr>
          <w:cantSplit/>
          <w:trHeight w:val="691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C03BB3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Is it essential to take the consent from patient before starting GLP-1 RA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F2C2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CA941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8 (15.7%)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61674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9 (17.6%)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83317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CAFC1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22 (43.1%)</w:t>
            </w:r>
          </w:p>
        </w:tc>
      </w:tr>
      <w:tr w:rsidR="00F818C7" w:rsidRPr="00975105" w14:paraId="7F9C683D" w14:textId="77777777" w:rsidTr="001B75D0">
        <w:trPr>
          <w:cantSplit/>
          <w:trHeight w:val="706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A6AE5A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feel moral obligation to discuss the benefits and risk factors associated with GLP-1 RA therapy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B77D2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5 (9.8%)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06934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3 (5.9%)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0AAAD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5 (9.8%)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0623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11 (21.6%)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48C04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27 (52.9%)</w:t>
            </w:r>
          </w:p>
        </w:tc>
      </w:tr>
      <w:tr w:rsidR="00F818C7" w:rsidRPr="00975105" w14:paraId="291DA657" w14:textId="77777777" w:rsidTr="001B75D0">
        <w:trPr>
          <w:cantSplit/>
          <w:trHeight w:val="691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57F6D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make efforts to choose the most appropriate GLP-1 RA specific for the patient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5EB6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7 (13.7%)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5937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3 (5.9%)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6C7D8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17 (33.3%)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D893A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4 (7.8%)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65528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20 (39.2%)</w:t>
            </w:r>
          </w:p>
        </w:tc>
      </w:tr>
      <w:tr w:rsidR="00F818C7" w:rsidRPr="00975105" w14:paraId="5927F819" w14:textId="77777777" w:rsidTr="001B75D0">
        <w:trPr>
          <w:cantSplit/>
          <w:trHeight w:val="706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832408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educate the patient or caregiver and nurse staff to give a prefilled pen for parenteral administration of GLP-1 RA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A2B3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97F07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 (3.9%)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B0E67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15 (29.4%)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45D9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7 (13.7%)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7FB7E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21 (41.2%)</w:t>
            </w:r>
          </w:p>
        </w:tc>
      </w:tr>
      <w:tr w:rsidR="00F818C7" w:rsidRPr="00975105" w14:paraId="400F9D04" w14:textId="77777777" w:rsidTr="001B75D0">
        <w:trPr>
          <w:cantSplit/>
          <w:trHeight w:val="691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65C36D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recommend patients on GLP-1 RA therapy to eat small portion of meals and then wait 30 minutes before eating more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71F7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4 (7.8%)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EDD3D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7 (13.7%)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A523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23 (45.1%)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1C945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5 (9.8%)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5779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12 (23.5%)</w:t>
            </w:r>
          </w:p>
        </w:tc>
      </w:tr>
      <w:tr w:rsidR="00F818C7" w:rsidRPr="00975105" w14:paraId="52D590C2" w14:textId="77777777" w:rsidTr="001B75D0">
        <w:trPr>
          <w:cantSplit/>
          <w:trHeight w:val="1059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7770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I prefer to encourage patient to self-monitor blood glucose a few times daily for a week or two after initiating the GLP-1 RA therapy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EE3F8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C8E6A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9 (17.6%)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052D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13 (25.5%)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81119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7 (13.7%)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4CEF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16 (31.4%)</w:t>
            </w:r>
          </w:p>
        </w:tc>
      </w:tr>
      <w:tr w:rsidR="00F818C7" w:rsidRPr="00975105" w14:paraId="040173AF" w14:textId="77777777" w:rsidTr="001B75D0">
        <w:trPr>
          <w:cantSplit/>
          <w:trHeight w:val="337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F3BF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b/>
                <w:bCs/>
                <w:sz w:val="20"/>
                <w:szCs w:val="20"/>
              </w:rPr>
              <w:t>Practice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B61BE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1A40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E202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4EEF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1107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818C7" w:rsidRPr="00975105" w14:paraId="790C3BB9" w14:textId="77777777" w:rsidTr="001B75D0">
        <w:trPr>
          <w:cantSplit/>
          <w:trHeight w:val="706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FBAF1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I recommend female patients when use GLP-RA to be on Oral Contraceptive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39C7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3 (5.9%)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7920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9 (17.6%)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9BA83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24 (47.1%)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4EE43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53C6E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9 (17.6%)</w:t>
            </w:r>
          </w:p>
        </w:tc>
      </w:tr>
      <w:tr w:rsidR="00F818C7" w:rsidRPr="00975105" w14:paraId="350CED9E" w14:textId="77777777" w:rsidTr="001B75D0">
        <w:trPr>
          <w:cantSplit/>
          <w:trHeight w:val="691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5C1A65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devote time to read literature for recent additions to the GLP-1 RA class of antidiabetic drugs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D8E01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5 (9.8%)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D72C4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4 (7.8%)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877B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22 (43.1%)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6396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59AB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14 (27.5%)</w:t>
            </w:r>
          </w:p>
        </w:tc>
      </w:tr>
      <w:tr w:rsidR="00F818C7" w:rsidRPr="00975105" w14:paraId="3F5AA5CC" w14:textId="77777777" w:rsidTr="001B75D0">
        <w:trPr>
          <w:cantSplit/>
          <w:trHeight w:val="353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04946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always refer patient history before treating them with GLP-RA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DEA43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0B0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0 (0.0%)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184C1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10 (19.6%)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EBF32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9 (17.6%)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9CE42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26 (51.0%)</w:t>
            </w:r>
          </w:p>
        </w:tc>
      </w:tr>
      <w:tr w:rsidR="00F818C7" w:rsidRPr="00975105" w14:paraId="4033A9E9" w14:textId="77777777" w:rsidTr="001B75D0">
        <w:trPr>
          <w:cantSplit/>
          <w:trHeight w:val="706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976B9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inform patients taking GLP-1 RA medication about the possible side effects such as transient nausea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62EBB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4 (7.8%)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B9759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9FBE2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3 (5.9%)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10309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E6CE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32 (62.7%)</w:t>
            </w:r>
          </w:p>
        </w:tc>
      </w:tr>
      <w:tr w:rsidR="00F818C7" w:rsidRPr="00975105" w14:paraId="0780EEE5" w14:textId="77777777" w:rsidTr="001B75D0">
        <w:trPr>
          <w:cantSplit/>
          <w:trHeight w:val="691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0A360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advise patients on GLP-1 RA therapy the possibility of localized irritation or nodule formation at injection site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6561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6 (11.8%)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2BEF9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5 (9.8%)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53CE2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11 (21.6%)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D8F8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16 (31.4%)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91253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13 (25.5%)</w:t>
            </w:r>
          </w:p>
        </w:tc>
      </w:tr>
      <w:tr w:rsidR="00F818C7" w:rsidRPr="00975105" w14:paraId="2C53A1AF" w14:textId="77777777" w:rsidTr="001B75D0">
        <w:trPr>
          <w:cantSplit/>
          <w:trHeight w:val="706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597AAA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avoid prescribing GLP-1 RA to pregnant and nursing patients to prevent the complications of medications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3C3CC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 (3.9%)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B1C49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4 (7.8%)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8F8A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24 (47.1%)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91515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4 (7.8%)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AB9B8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17 (33.3%)</w:t>
            </w:r>
          </w:p>
        </w:tc>
      </w:tr>
      <w:tr w:rsidR="00F818C7" w:rsidRPr="00975105" w14:paraId="2BEC1DD9" w14:textId="77777777" w:rsidTr="001B75D0">
        <w:trPr>
          <w:cantSplit/>
          <w:trHeight w:val="1044"/>
        </w:trPr>
        <w:tc>
          <w:tcPr>
            <w:tcW w:w="54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6E8840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3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hAnsiTheme="majorBidi" w:cstheme="majorBidi"/>
                <w:sz w:val="20"/>
                <w:szCs w:val="20"/>
              </w:rPr>
              <w:t>I ask patients on GLP-1 RA therapy to report immediately any unrelenting abdominal pains, hypersensitivity reactions and abnormal growths</w:t>
            </w:r>
          </w:p>
        </w:tc>
        <w:tc>
          <w:tcPr>
            <w:tcW w:w="10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DB24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 (3.9%)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D1C0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 (3.9%)</w:t>
            </w:r>
          </w:p>
        </w:tc>
        <w:tc>
          <w:tcPr>
            <w:tcW w:w="123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8B791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8 (15.7%)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72805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13 (25.5%)</w:t>
            </w:r>
          </w:p>
        </w:tc>
        <w:tc>
          <w:tcPr>
            <w:tcW w:w="1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70DDF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26 (51.0%)</w:t>
            </w:r>
          </w:p>
        </w:tc>
      </w:tr>
      <w:tr w:rsidR="00F818C7" w:rsidRPr="00975105" w14:paraId="23A16E5A" w14:textId="77777777" w:rsidTr="001B75D0">
        <w:trPr>
          <w:cantSplit/>
          <w:trHeight w:val="353"/>
        </w:trPr>
        <w:tc>
          <w:tcPr>
            <w:tcW w:w="11171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1CEA6" w14:textId="77777777" w:rsidR="00F818C7" w:rsidRPr="00975105" w:rsidRDefault="00F818C7" w:rsidP="00FF13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360" w:lineRule="auto"/>
              <w:ind w:left="100" w:right="100"/>
              <w:rPr>
                <w:rFonts w:asciiTheme="majorBidi" w:hAnsiTheme="majorBidi" w:cstheme="majorBidi"/>
                <w:sz w:val="20"/>
                <w:szCs w:val="20"/>
              </w:rPr>
            </w:pPr>
            <w:r w:rsidRPr="00975105">
              <w:rPr>
                <w:rFonts w:asciiTheme="majorBidi" w:eastAsia="Arial" w:hAnsiTheme="majorBidi" w:cstheme="majorBidi"/>
                <w:sz w:val="20"/>
                <w:szCs w:val="20"/>
              </w:rPr>
              <w:t>n (%)</w:t>
            </w:r>
          </w:p>
        </w:tc>
      </w:tr>
    </w:tbl>
    <w:p w14:paraId="03134771" w14:textId="31ECE4A4" w:rsidR="00F818C7" w:rsidRDefault="00F818C7" w:rsidP="00F818C7">
      <w:pPr>
        <w:spacing w:after="160" w:line="259" w:lineRule="auto"/>
        <w:rPr>
          <w:rFonts w:asciiTheme="majorBidi" w:hAnsiTheme="majorBidi" w:cstheme="majorBidi"/>
          <w:b/>
          <w:color w:val="0D0F1A"/>
          <w:szCs w:val="24"/>
          <w:u w:color="0D0F1A"/>
        </w:rPr>
      </w:pPr>
      <w:r>
        <w:rPr>
          <w:rFonts w:asciiTheme="majorBidi" w:hAnsiTheme="majorBidi" w:cstheme="majorBidi"/>
          <w:b/>
          <w:color w:val="0D0F1A"/>
          <w:szCs w:val="24"/>
          <w:u w:color="0D0F1A"/>
        </w:rPr>
        <w:t xml:space="preserve"> </w:t>
      </w:r>
    </w:p>
    <w:sectPr w:rsidR="00F818C7" w:rsidSect="007C4C6F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DE"/>
    <w:rsid w:val="001B75D0"/>
    <w:rsid w:val="00321C9E"/>
    <w:rsid w:val="00423096"/>
    <w:rsid w:val="006732DE"/>
    <w:rsid w:val="006F7902"/>
    <w:rsid w:val="007C4C6F"/>
    <w:rsid w:val="008D44E7"/>
    <w:rsid w:val="009A20C7"/>
    <w:rsid w:val="00B16868"/>
    <w:rsid w:val="00B34ECC"/>
    <w:rsid w:val="00B56926"/>
    <w:rsid w:val="00CF3506"/>
    <w:rsid w:val="00EE5B5D"/>
    <w:rsid w:val="00F167BD"/>
    <w:rsid w:val="00F818C7"/>
    <w:rsid w:val="00FC5A9C"/>
    <w:rsid w:val="00FD3DAE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27941"/>
  <w15:chartTrackingRefBased/>
  <w15:docId w15:val="{0090738A-AAA6-495A-A5D2-A32DB4FE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C6F"/>
    <w:pPr>
      <w:spacing w:after="0" w:line="240" w:lineRule="auto"/>
    </w:pPr>
    <w:rPr>
      <w:rFonts w:ascii="Footlight MT Light" w:eastAsia="Times New Roman" w:hAnsi="Footlight MT Light" w:cs="Traditional Arabic"/>
      <w:kern w:val="0"/>
      <w:sz w:val="24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32DE"/>
    <w:pPr>
      <w:keepNext/>
      <w:keepLines/>
      <w:bidi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2DE"/>
    <w:pPr>
      <w:keepNext/>
      <w:keepLines/>
      <w:bidi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2DE"/>
    <w:pPr>
      <w:keepNext/>
      <w:keepLines/>
      <w:bidi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2DE"/>
    <w:pPr>
      <w:keepNext/>
      <w:keepLines/>
      <w:bidi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2DE"/>
    <w:pPr>
      <w:keepNext/>
      <w:keepLines/>
      <w:bidi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2DE"/>
    <w:pPr>
      <w:keepNext/>
      <w:keepLines/>
      <w:bidi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2DE"/>
    <w:pPr>
      <w:keepNext/>
      <w:keepLines/>
      <w:bidi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2DE"/>
    <w:pPr>
      <w:keepNext/>
      <w:keepLines/>
      <w:bidi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2DE"/>
    <w:pPr>
      <w:keepNext/>
      <w:keepLines/>
      <w:bidi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2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2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2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2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2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2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2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2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2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2DE"/>
    <w:pPr>
      <w:bidi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73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2DE"/>
    <w:pPr>
      <w:numPr>
        <w:ilvl w:val="1"/>
      </w:numPr>
      <w:bidi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73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2DE"/>
    <w:pPr>
      <w:bidi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732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2DE"/>
    <w:pPr>
      <w:bidi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732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2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2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2DE"/>
    <w:rPr>
      <w:b/>
      <w:bCs/>
      <w:smallCaps/>
      <w:color w:val="2F5496" w:themeColor="accent1" w:themeShade="BF"/>
      <w:spacing w:val="5"/>
    </w:rPr>
  </w:style>
  <w:style w:type="table" w:customStyle="1" w:styleId="Table">
    <w:name w:val="Table"/>
    <w:semiHidden/>
    <w:unhideWhenUsed/>
    <w:qFormat/>
    <w:rsid w:val="007C4C6F"/>
    <w:pPr>
      <w:spacing w:after="200" w:line="240" w:lineRule="auto"/>
    </w:pPr>
    <w:rPr>
      <w:kern w:val="0"/>
      <w:sz w:val="24"/>
      <w:szCs w:val="24"/>
      <w:lang w:val="en-IN" w:eastAsia="en-IN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FirstParagraph">
    <w:name w:val="First Paragraph"/>
    <w:basedOn w:val="BodyText"/>
    <w:next w:val="BodyText"/>
    <w:qFormat/>
    <w:rsid w:val="007C4C6F"/>
    <w:pPr>
      <w:spacing w:before="180" w:after="180"/>
    </w:pPr>
    <w:rPr>
      <w:rFonts w:asciiTheme="minorHAnsi" w:eastAsiaTheme="minorHAnsi" w:hAnsiTheme="minorHAnsi" w:cstheme="minorBidi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7C4C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4C6F"/>
    <w:rPr>
      <w:rFonts w:ascii="Footlight MT Light" w:eastAsia="Times New Roman" w:hAnsi="Footlight MT Light" w:cs="Traditional Arabic"/>
      <w:kern w:val="0"/>
      <w:sz w:val="24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Meshari Abdulsattar .N Turjoman</dc:creator>
  <cp:keywords/>
  <dc:description/>
  <cp:lastModifiedBy>Anudeep S P</cp:lastModifiedBy>
  <cp:revision>3</cp:revision>
  <dcterms:created xsi:type="dcterms:W3CDTF">2025-03-17T05:52:00Z</dcterms:created>
  <dcterms:modified xsi:type="dcterms:W3CDTF">2025-03-18T11:30:00Z</dcterms:modified>
</cp:coreProperties>
</file>